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F" w:rsidRPr="00204CC9" w:rsidRDefault="00BE09DF" w:rsidP="00BE09DF">
      <w:pPr>
        <w:shd w:val="clear" w:color="auto" w:fill="FFFFFF"/>
        <w:outlineLvl w:val="1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  <w:r>
        <w:rPr>
          <w:rFonts w:ascii="Tahoma" w:hAnsi="Tahoma" w:cs="Tahoma"/>
          <w:b/>
          <w:bCs/>
          <w:color w:val="336699"/>
          <w:kern w:val="36"/>
          <w:sz w:val="30"/>
          <w:szCs w:val="30"/>
        </w:rPr>
        <w:t>О системе капитального ремонта</w:t>
      </w:r>
    </w:p>
    <w:p w:rsidR="00BE09DF" w:rsidRPr="00377931" w:rsidRDefault="00BE09DF" w:rsidP="00BE09DF">
      <w:pPr>
        <w:pStyle w:val="a4"/>
        <w:shd w:val="clear" w:color="auto" w:fill="FFFFFF"/>
        <w:spacing w:line="370" w:lineRule="atLeast"/>
        <w:rPr>
          <w:color w:val="333333"/>
          <w:sz w:val="20"/>
          <w:szCs w:val="20"/>
        </w:rPr>
      </w:pPr>
      <w:hyperlink r:id="rId5" w:history="1">
        <w:r w:rsidRPr="00377931">
          <w:rPr>
            <w:rStyle w:val="a3"/>
            <w:sz w:val="20"/>
            <w:szCs w:val="20"/>
          </w:rPr>
          <w:t>Региональная программа капитального ремонта общего имущества в многоквартирных домах, на территории Красноярского края, утверждена Правительством Красноярского края от 27.12.2013 № 709-п</w:t>
        </w:r>
      </w:hyperlink>
      <w:r w:rsidRPr="00377931">
        <w:rPr>
          <w:color w:val="333333"/>
          <w:sz w:val="20"/>
          <w:szCs w:val="20"/>
        </w:rPr>
        <w:t xml:space="preserve"> (редакция от 12.09.2017 № 526-п). Программа сформирована сроком на 30 лет и включает в себя адресный перечень всех многоквартирных домов, в которых необходимо провести капитальный ремонт общего имущества, с разбивкой на 3 летние периоды.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r w:rsidRPr="00377931">
        <w:rPr>
          <w:color w:val="333333"/>
          <w:sz w:val="20"/>
          <w:szCs w:val="20"/>
        </w:rPr>
        <w:t xml:space="preserve">Для проведения капитального ремонта общего имущества в многоквартирных домах собственникам помещений необходимо ежемесячно уплачивать взносы на капитальный ремонт. Собственники, перечисляющие взносы на капитальный ремонт в целях формирования фонда капитального ремонта, вправе выбрать один из следующих способов формирования фонда капитального </w:t>
      </w:r>
      <w:proofErr w:type="gramStart"/>
      <w:r w:rsidRPr="00377931">
        <w:rPr>
          <w:color w:val="333333"/>
          <w:sz w:val="20"/>
          <w:szCs w:val="20"/>
        </w:rPr>
        <w:t>ремонта:</w:t>
      </w:r>
      <w:r w:rsidRPr="00377931">
        <w:rPr>
          <w:color w:val="333333"/>
          <w:sz w:val="20"/>
          <w:szCs w:val="20"/>
        </w:rPr>
        <w:br/>
        <w:t>специальный</w:t>
      </w:r>
      <w:proofErr w:type="gramEnd"/>
      <w:r w:rsidRPr="00377931">
        <w:rPr>
          <w:color w:val="333333"/>
          <w:sz w:val="20"/>
          <w:szCs w:val="20"/>
        </w:rPr>
        <w:t xml:space="preserve"> счет (на счете УК, ТСЖ);</w:t>
      </w:r>
      <w:r w:rsidRPr="00377931">
        <w:rPr>
          <w:color w:val="333333"/>
          <w:sz w:val="20"/>
          <w:szCs w:val="20"/>
        </w:rPr>
        <w:br/>
      </w:r>
      <w:hyperlink r:id="rId6" w:tgtFrame="_blank" w:history="1">
        <w:r>
          <w:rPr>
            <w:rStyle w:val="a3"/>
            <w:rFonts w:ascii="Tahoma" w:hAnsi="Tahoma" w:cs="Tahoma"/>
            <w:sz w:val="20"/>
            <w:szCs w:val="20"/>
          </w:rPr>
          <w:t>общий счет регионального оператора</w:t>
        </w:r>
      </w:hyperlink>
      <w:r>
        <w:rPr>
          <w:rFonts w:ascii="Tahoma" w:hAnsi="Tahoma" w:cs="Tahoma"/>
          <w:color w:val="333333"/>
          <w:sz w:val="20"/>
          <w:szCs w:val="20"/>
        </w:rPr>
        <w:t>.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порядке, установленном Жилищным кодексом Российской Федерации.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Проведение капитального ремонта регулируется следующими основными нормативными правовыми актами: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7" w:history="1">
        <w:r>
          <w:rPr>
            <w:rStyle w:val="a3"/>
            <w:rFonts w:ascii="Tahoma" w:hAnsi="Tahoma" w:cs="Tahoma"/>
            <w:sz w:val="20"/>
            <w:szCs w:val="20"/>
          </w:rPr>
          <w:t>Закон Красноярского края от 27.06.2013 № 4-1451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8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распоряжение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16.09.2013 № 648-р «О создании некоммерческой организации «Региональный фонд капитального ремонта многоквартирных домов на территории Красноярского края» (устав)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9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постановление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27.12.2013 № 713-п «Об утверждении Порядка проведения мониторинга технического состояния многоквартирных домов, расположенных на территории Красноярского края»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10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постановление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27.12.2013 № 715-п «Об утверждении Порядка осуществления на территории Красноярского края контроля за целевым расходованием денежных средств, сформированных за счет взносов на капитальный ремонт, и обеспечением сохранности этих средств»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11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постановление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12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постановление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13.12.2013 № 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2014 - 2016 годы»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hyperlink r:id="rId13" w:history="1">
        <w:proofErr w:type="gramStart"/>
        <w:r>
          <w:rPr>
            <w:rStyle w:val="a3"/>
            <w:rFonts w:ascii="Tahoma" w:hAnsi="Tahoma" w:cs="Tahoma"/>
            <w:sz w:val="20"/>
            <w:szCs w:val="20"/>
          </w:rPr>
          <w:t>постановление</w:t>
        </w:r>
        <w:proofErr w:type="gramEnd"/>
        <w:r>
          <w:rPr>
            <w:rStyle w:val="a3"/>
            <w:rFonts w:ascii="Tahoma" w:hAnsi="Tahoma" w:cs="Tahoma"/>
            <w:sz w:val="20"/>
            <w:szCs w:val="20"/>
          </w:rPr>
          <w:t xml:space="preserve"> Правительства Красноярского края от 27.12.2016 № 670-п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2017–2019 годы»</w:t>
        </w:r>
      </w:hyperlink>
      <w:r>
        <w:rPr>
          <w:rFonts w:ascii="Tahoma" w:hAnsi="Tahoma" w:cs="Tahoma"/>
          <w:color w:val="333333"/>
          <w:sz w:val="20"/>
          <w:szCs w:val="20"/>
        </w:rPr>
        <w:t>;</w:t>
      </w:r>
    </w:p>
    <w:p w:rsidR="00BE09DF" w:rsidRDefault="00BE09DF" w:rsidP="00BE09DF">
      <w:pPr>
        <w:pStyle w:val="a4"/>
        <w:shd w:val="clear" w:color="auto" w:fill="FFFFFF"/>
        <w:spacing w:line="370" w:lineRule="atLeast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краткосрочные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планы.</w:t>
      </w:r>
    </w:p>
    <w:p w:rsidR="00BE09DF" w:rsidRPr="00204CC9" w:rsidRDefault="00BE09DF" w:rsidP="00BE09DF">
      <w:pPr>
        <w:pStyle w:val="a4"/>
        <w:shd w:val="clear" w:color="auto" w:fill="FFFFFF"/>
        <w:spacing w:line="370" w:lineRule="atLeast"/>
        <w:rPr>
          <w:rStyle w:val="A5"/>
          <w:rFonts w:ascii="Tahoma" w:hAnsi="Tahoma" w:cs="Tahoma"/>
          <w:color w:val="333333"/>
          <w:sz w:val="20"/>
          <w:szCs w:val="20"/>
        </w:rPr>
      </w:pPr>
      <w:hyperlink r:id="rId14" w:history="1">
        <w:r>
          <w:rPr>
            <w:rStyle w:val="a3"/>
            <w:rFonts w:ascii="Tahoma" w:hAnsi="Tahoma" w:cs="Tahoma"/>
            <w:sz w:val="20"/>
            <w:szCs w:val="20"/>
          </w:rPr>
          <w:t>Капитальный ремонт проводится при взаимодействии министерства строительства и ЖКХ, регионального оператора, органов местного самоуправления, управляющих организаций, службы строительного надзора и жилищного контроля края, подрядчиков, собственников.</w:t>
        </w:r>
      </w:hyperlink>
    </w:p>
    <w:p w:rsidR="00BE09DF" w:rsidRDefault="00BE09DF" w:rsidP="00BE09DF">
      <w:pPr>
        <w:pStyle w:val="2"/>
      </w:pPr>
      <w:r>
        <w:t>Кто устанавливает тарифы?</w:t>
      </w:r>
    </w:p>
    <w:p w:rsidR="00BE09DF" w:rsidRDefault="00BE09DF" w:rsidP="00BE09DF">
      <w:pPr>
        <w:pStyle w:val="a4"/>
      </w:pPr>
      <w:hyperlink r:id="rId15" w:tgtFrame="_blank" w:history="1">
        <w:r>
          <w:rPr>
            <w:rStyle w:val="a3"/>
          </w:rPr>
          <w:t>Статья 167 ЖК РФ</w:t>
        </w:r>
      </w:hyperlink>
      <w:r>
        <w:t xml:space="preserve"> наделяет полномочиями по определению минимального размера тарифа на капитальный ремонт региональные органы власти. </w:t>
      </w:r>
    </w:p>
    <w:p w:rsidR="00BE09DF" w:rsidRDefault="00BE09DF" w:rsidP="00BE09DF">
      <w:r>
        <w:t>В связи с этим во всех субъектах РФ приняты соответствующие законодательные акты, устанавливающие минимальные тарифы для взносов на капремонт в пределах региона</w:t>
      </w:r>
    </w:p>
    <w:p w:rsidR="00BE09DF" w:rsidRDefault="00BE09DF" w:rsidP="00BE09DF">
      <w:pPr>
        <w:pStyle w:val="a4"/>
      </w:pPr>
      <w:r>
        <w:t>Методическое сопровождение деятельности местных властей по формированию размеров ставок осуществляется на федеральном уровне Министерством строительства и ЖКХ.</w:t>
      </w:r>
    </w:p>
    <w:p w:rsidR="00BE09DF" w:rsidRDefault="00BE09DF" w:rsidP="00BE09DF">
      <w:pPr>
        <w:pStyle w:val="a4"/>
      </w:pPr>
      <w:r>
        <w:rPr>
          <w:rStyle w:val="a6"/>
        </w:rPr>
        <w:t>В соответствии с методическими рекомендациями при определении минимальных размеров сбора на капремонт должны учитываться</w:t>
      </w:r>
      <w:r>
        <w:t xml:space="preserve"> (приказ Минстроя от 07.02.2014 №41/</w:t>
      </w:r>
      <w:proofErr w:type="spellStart"/>
      <w:r>
        <w:t>пр</w:t>
      </w:r>
      <w:proofErr w:type="spellEnd"/>
      <w:r>
        <w:t>):</w:t>
      </w:r>
    </w:p>
    <w:p w:rsidR="00BE09DF" w:rsidRDefault="00BE09DF" w:rsidP="00BE09DF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совокупность</w:t>
      </w:r>
      <w:proofErr w:type="gramEnd"/>
      <w:r>
        <w:t xml:space="preserve"> средств необходимых для выполнения минимального набора ремонтных работ;</w:t>
      </w:r>
    </w:p>
    <w:p w:rsidR="00BE09DF" w:rsidRDefault="00BE09DF" w:rsidP="00BE09DF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доступность</w:t>
      </w:r>
      <w:proofErr w:type="gramEnd"/>
      <w:r>
        <w:t xml:space="preserve"> для населения (в совокупности всех расходов на оплату жилья);</w:t>
      </w:r>
    </w:p>
    <w:p w:rsidR="00BE09DF" w:rsidRDefault="00BE09DF" w:rsidP="00BE09DF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достаточность</w:t>
      </w:r>
      <w:proofErr w:type="gramEnd"/>
      <w:r>
        <w:t xml:space="preserve"> собранных финансов для исполнения программы капитального ремонта в отдельно взятом субъекте</w:t>
      </w:r>
    </w:p>
    <w:p w:rsidR="00BE09DF" w:rsidRDefault="00BE09DF" w:rsidP="00BE09DF">
      <w:pPr>
        <w:pStyle w:val="a4"/>
      </w:pPr>
      <w:r>
        <w:t xml:space="preserve">Собственники помещений в многоквартирных домах (МКД), выбравшие способ накопления взносов на </w:t>
      </w:r>
      <w:proofErr w:type="spellStart"/>
      <w:r>
        <w:t>спецсчете</w:t>
      </w:r>
      <w:proofErr w:type="spellEnd"/>
      <w:r>
        <w:t xml:space="preserve">, могут принять решение об изменении установленного властями минимального норматива. </w:t>
      </w:r>
    </w:p>
    <w:p w:rsidR="00BE09DF" w:rsidRDefault="00BE09DF" w:rsidP="00BE09DF">
      <w:pPr>
        <w:pStyle w:val="a4"/>
      </w:pPr>
      <w:r>
        <w:t xml:space="preserve">Сделать это можно только в сторону увеличения на общем собрании собственников помещений. </w:t>
      </w:r>
    </w:p>
    <w:p w:rsidR="00BE09DF" w:rsidRDefault="00BE09DF" w:rsidP="00BE09DF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Минимальный размер взноса на капитальный ремонт </w:t>
      </w:r>
    </w:p>
    <w:p w:rsidR="00BE09DF" w:rsidRDefault="00BE09DF" w:rsidP="00BE09DF">
      <w:p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Минимальный размер взноса установлен </w:t>
      </w:r>
      <w:hyperlink r:id="rId16" w:tgtFrame="_blank" w:history="1">
        <w:r>
          <w:rPr>
            <w:rFonts w:ascii="Arial" w:hAnsi="Arial" w:cs="Arial"/>
            <w:color w:val="0072D0"/>
            <w:sz w:val="21"/>
            <w:szCs w:val="21"/>
          </w:rPr>
          <w:t>постановлением Правительства Красноярского края 27.12.2016 № 670-п.</w:t>
        </w:r>
      </w:hyperlink>
    </w:p>
    <w:p w:rsidR="00BE09DF" w:rsidRDefault="00BE09DF" w:rsidP="00BE09DF">
      <w:pPr>
        <w:spacing w:before="100" w:beforeAutospacing="1" w:after="100" w:afterAutospacing="1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Минимальный размер взноса на капитальный ремонт общего имущества в многоквартирных домах, расположенных на территории Красноярского края, на 2018 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1"/>
        <w:gridCol w:w="3188"/>
      </w:tblGrid>
      <w:tr w:rsidR="00BE09DF" w:rsidTr="0040215B">
        <w:trPr>
          <w:tblHeader/>
        </w:trPr>
        <w:tc>
          <w:tcPr>
            <w:tcW w:w="6345" w:type="dxa"/>
            <w:tcBorders>
              <w:top w:val="single" w:sz="18" w:space="0" w:color="FF7900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shd w:val="clear" w:color="auto" w:fill="EBF0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b/>
                <w:bCs/>
                <w:color w:val="2E40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404A"/>
                <w:sz w:val="21"/>
                <w:szCs w:val="21"/>
              </w:rPr>
              <w:lastRenderedPageBreak/>
              <w:t>Этажность многоквартирного дома</w:t>
            </w:r>
          </w:p>
        </w:tc>
        <w:tc>
          <w:tcPr>
            <w:tcW w:w="3255" w:type="dxa"/>
            <w:tcBorders>
              <w:top w:val="single" w:sz="18" w:space="0" w:color="FF7900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shd w:val="clear" w:color="auto" w:fill="EBF0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b/>
                <w:bCs/>
                <w:color w:val="2E404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404A"/>
                <w:sz w:val="21"/>
                <w:szCs w:val="21"/>
              </w:rPr>
              <w:t>Минимальный размер взноса, руб./кв. м</w:t>
            </w:r>
            <w:r>
              <w:rPr>
                <w:rFonts w:ascii="Arial" w:hAnsi="Arial" w:cs="Arial"/>
                <w:b/>
                <w:bCs/>
                <w:color w:val="2E404A"/>
                <w:sz w:val="21"/>
                <w:szCs w:val="21"/>
              </w:rPr>
              <w:br/>
              <w:t>в месяц</w:t>
            </w:r>
          </w:p>
        </w:tc>
      </w:tr>
      <w:tr w:rsidR="00BE09DF" w:rsidTr="0040215B">
        <w:tc>
          <w:tcPr>
            <w:tcW w:w="9600" w:type="dxa"/>
            <w:gridSpan w:val="2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8A9BA3"/>
                <w:sz w:val="21"/>
                <w:szCs w:val="21"/>
              </w:rPr>
      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      </w:r>
          </w:p>
        </w:tc>
      </w:tr>
      <w:tr w:rsidR="00BE09DF" w:rsidTr="0040215B">
        <w:tc>
          <w:tcPr>
            <w:tcW w:w="634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Многоквартирные дома 1 и 2 этажа</w:t>
            </w:r>
          </w:p>
        </w:tc>
        <w:tc>
          <w:tcPr>
            <w:tcW w:w="325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7,5</w:t>
            </w:r>
          </w:p>
        </w:tc>
      </w:tr>
      <w:tr w:rsidR="00BE09DF" w:rsidTr="0040215B">
        <w:tc>
          <w:tcPr>
            <w:tcW w:w="634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Многоквартирные дома 3 этажа и выше,</w:t>
            </w:r>
          </w:p>
          <w:p w:rsidR="00BE09DF" w:rsidRDefault="00BE09DF" w:rsidP="0040215B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оборудованные лифтами</w:t>
            </w:r>
          </w:p>
        </w:tc>
        <w:tc>
          <w:tcPr>
            <w:tcW w:w="325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7,2</w:t>
            </w:r>
          </w:p>
        </w:tc>
      </w:tr>
      <w:tr w:rsidR="00BE09DF" w:rsidTr="0040215B">
        <w:tc>
          <w:tcPr>
            <w:tcW w:w="634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Многоквартирные дома 3 этажа и выше, оборудованные лифтами</w:t>
            </w:r>
          </w:p>
        </w:tc>
        <w:tc>
          <w:tcPr>
            <w:tcW w:w="3255" w:type="dxa"/>
            <w:tcBorders>
              <w:top w:val="single" w:sz="6" w:space="0" w:color="D9E2E6"/>
              <w:left w:val="single" w:sz="6" w:space="0" w:color="D9E2E6"/>
              <w:bottom w:val="single" w:sz="6" w:space="0" w:color="D9E2E6"/>
              <w:right w:val="single" w:sz="6" w:space="0" w:color="D9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9DF" w:rsidRDefault="00BE09DF" w:rsidP="0040215B">
            <w:pPr>
              <w:spacing w:before="100" w:beforeAutospacing="1" w:after="100" w:afterAutospacing="1" w:line="300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7,5</w:t>
            </w:r>
          </w:p>
        </w:tc>
      </w:tr>
    </w:tbl>
    <w:p w:rsidR="00BE09DF" w:rsidRDefault="00BE09DF" w:rsidP="00BE09DF"/>
    <w:p w:rsidR="00BE09DF" w:rsidRPr="00204CC9" w:rsidRDefault="00BE09DF" w:rsidP="00BE09DF">
      <w:pPr>
        <w:rPr>
          <w:b/>
          <w:sz w:val="28"/>
          <w:szCs w:val="28"/>
        </w:rPr>
      </w:pPr>
      <w:r w:rsidRPr="00204CC9">
        <w:rPr>
          <w:b/>
          <w:sz w:val="28"/>
          <w:szCs w:val="28"/>
        </w:rPr>
        <w:t xml:space="preserve">В связи с чем повышается тариф на капремонт?           </w:t>
      </w:r>
    </w:p>
    <w:p w:rsidR="00BE09DF" w:rsidRDefault="00BE09DF" w:rsidP="00BE09DF">
      <w:r>
        <w:t>Что говорит закон о размере взноса за капремонт?</w:t>
      </w:r>
    </w:p>
    <w:p w:rsidR="00BE09DF" w:rsidRDefault="00BE09DF" w:rsidP="00BE09DF">
      <w:r>
        <w:t xml:space="preserve">В соответствии с Жилищным Кодексом собственники жилья в многоквартирном доме несут ответственность за осуществление отчислений на капитальный ремонт. </w:t>
      </w:r>
    </w:p>
    <w:p w:rsidR="00BE09DF" w:rsidRDefault="00BE09DF" w:rsidP="00BE09DF">
      <w:r>
        <w:t>Размер взноса на капремонт регулируется статьей 156 ЖК РФ, а также он может быть увеличен на совещании жителей дома.</w:t>
      </w:r>
    </w:p>
    <w:p w:rsidR="00BE09DF" w:rsidRDefault="00BE09DF" w:rsidP="00BE09DF">
      <w:r>
        <w:t>Минимальный ежемесячный взнос, приходящийся на единицу жилплощади, устанавливается нормативными актами субъектов Федерации на основании Приказа Министерства строительства и ЖКХ.</w:t>
      </w:r>
    </w:p>
    <w:p w:rsidR="00BE09DF" w:rsidRDefault="00BE09DF" w:rsidP="00BE09DF">
      <w:r>
        <w:t>В каждом регионе РФ он может различаться на основе оценки следующих характеристик многоквартирных домов:</w:t>
      </w:r>
    </w:p>
    <w:p w:rsidR="00BE09DF" w:rsidRDefault="00BE09DF" w:rsidP="00BE09DF">
      <w:proofErr w:type="gramStart"/>
      <w:r>
        <w:t>муниципальное</w:t>
      </w:r>
      <w:proofErr w:type="gramEnd"/>
      <w:r>
        <w:t xml:space="preserve"> образование, в котором находится недвижимость;</w:t>
      </w:r>
    </w:p>
    <w:p w:rsidR="00BE09DF" w:rsidRDefault="00BE09DF" w:rsidP="00BE09DF">
      <w:proofErr w:type="gramStart"/>
      <w:r>
        <w:t>его</w:t>
      </w:r>
      <w:proofErr w:type="gramEnd"/>
      <w:r>
        <w:t xml:space="preserve"> тип и этажность;</w:t>
      </w:r>
    </w:p>
    <w:p w:rsidR="00BE09DF" w:rsidRDefault="00BE09DF" w:rsidP="00BE09DF">
      <w:proofErr w:type="gramStart"/>
      <w:r>
        <w:t>расчетная</w:t>
      </w:r>
      <w:proofErr w:type="gramEnd"/>
      <w:r>
        <w:t xml:space="preserve"> цена проведения ремонта разных частей конструкций и инженерной системы дома;</w:t>
      </w:r>
    </w:p>
    <w:p w:rsidR="00BE09DF" w:rsidRDefault="00BE09DF" w:rsidP="00BE09DF">
      <w:proofErr w:type="gramStart"/>
      <w:r>
        <w:t>принятые</w:t>
      </w:r>
      <w:proofErr w:type="gramEnd"/>
      <w:r>
        <w:t xml:space="preserve"> стандарты по срокам службы отремонтированных элементов;</w:t>
      </w:r>
    </w:p>
    <w:p w:rsidR="00BE09DF" w:rsidRDefault="00BE09DF" w:rsidP="00BE09DF">
      <w:proofErr w:type="gramStart"/>
      <w:r>
        <w:t>перечень</w:t>
      </w:r>
      <w:proofErr w:type="gramEnd"/>
      <w:r>
        <w:t xml:space="preserve"> необходимых работ.</w:t>
      </w:r>
    </w:p>
    <w:p w:rsidR="00BE09DF" w:rsidRDefault="00BE09DF" w:rsidP="00BE09DF">
      <w:r>
        <w:t>ОСОБЕННОСТИ! Согласно методическим рекомендациям Правительства, на расчет ежемесячной платы влияет и нагрузка на доходы семьи. Существуют формулы для вычисления процентной доли всех коммунальных сборов семьи от получаемого дохода.</w:t>
      </w:r>
    </w:p>
    <w:p w:rsidR="00BE09DF" w:rsidRDefault="00BE09DF" w:rsidP="00BE09DF">
      <w:r>
        <w:t>В каждом муниципальном образовании данный показатель разнится и зависит от среднего заработка в регионе. На доступность для каждой семьи к его оплате влияют такие критерии:</w:t>
      </w:r>
    </w:p>
    <w:p w:rsidR="00BE09DF" w:rsidRDefault="00BE09DF" w:rsidP="00BE09DF">
      <w:proofErr w:type="gramStart"/>
      <w:r>
        <w:t>доля</w:t>
      </w:r>
      <w:proofErr w:type="gramEnd"/>
      <w:r>
        <w:t xml:space="preserve"> трат в общем семейном доходе на оплату жилого помещения и коммунальные услуги, включая отчисления за капремонт;</w:t>
      </w:r>
    </w:p>
    <w:p w:rsidR="00BE09DF" w:rsidRDefault="00BE09DF" w:rsidP="00BE09DF">
      <w:proofErr w:type="gramStart"/>
      <w:r>
        <w:lastRenderedPageBreak/>
        <w:t>предельное</w:t>
      </w:r>
      <w:proofErr w:type="gramEnd"/>
      <w:r>
        <w:t xml:space="preserve"> значение данных расходов в регионе;</w:t>
      </w:r>
    </w:p>
    <w:p w:rsidR="00BE09DF" w:rsidRPr="00F92A93" w:rsidRDefault="00BE09DF" w:rsidP="00BE09DF">
      <w:proofErr w:type="gramStart"/>
      <w:r>
        <w:t>среднедушевой</w:t>
      </w:r>
      <w:proofErr w:type="gramEnd"/>
      <w:r>
        <w:t xml:space="preserve"> доход в муниципальном образовании.</w:t>
      </w:r>
    </w:p>
    <w:p w:rsidR="00BE09DF" w:rsidRPr="007C0A0B" w:rsidRDefault="00BE09DF" w:rsidP="00BE09DF">
      <w:r>
        <w:t>Могут</w:t>
      </w:r>
      <w:r w:rsidRPr="007C0A0B">
        <w:t xml:space="preserve"> </w:t>
      </w:r>
      <w:r>
        <w:t>ли</w:t>
      </w:r>
      <w:r w:rsidRPr="007C0A0B">
        <w:t xml:space="preserve"> </w:t>
      </w:r>
      <w:r>
        <w:t>региональные</w:t>
      </w:r>
      <w:r w:rsidRPr="007C0A0B">
        <w:t xml:space="preserve"> </w:t>
      </w:r>
      <w:r>
        <w:t>власти</w:t>
      </w:r>
      <w:r w:rsidRPr="007C0A0B">
        <w:t xml:space="preserve"> </w:t>
      </w:r>
      <w:r>
        <w:t>изменить</w:t>
      </w:r>
      <w:r w:rsidRPr="007C0A0B">
        <w:t xml:space="preserve"> </w:t>
      </w:r>
      <w:r>
        <w:t>тариф</w:t>
      </w:r>
      <w:r w:rsidRPr="007C0A0B">
        <w:t>?</w:t>
      </w:r>
    </w:p>
    <w:p w:rsidR="00BE09DF" w:rsidRDefault="00BE09DF" w:rsidP="00BE09DF">
      <w:r>
        <w:t>На законодательном уровне предусмотрено изменение тарифной ставки по сборам на капитальный ремонт.</w:t>
      </w:r>
    </w:p>
    <w:p w:rsidR="00BE09DF" w:rsidRDefault="00BE09DF" w:rsidP="00BE09DF">
      <w:r>
        <w:t>Обычно в каждый последующий период реализации программы происходит повышение платы за капремонт. А отказ от оплаты грозит штрафами и судом.</w:t>
      </w:r>
    </w:p>
    <w:p w:rsidR="00BE09DF" w:rsidRDefault="00BE09DF" w:rsidP="00BE09DF">
      <w:r>
        <w:t xml:space="preserve">Субъекты Федерации имеют право корректировать величину отчисления в течение всего периода действия программы. </w:t>
      </w:r>
    </w:p>
    <w:p w:rsidR="00BE09DF" w:rsidRDefault="00BE09DF" w:rsidP="00BE09DF">
      <w:r>
        <w:t>При этом должны учитываться следующие факторы:</w:t>
      </w:r>
    </w:p>
    <w:p w:rsidR="00BE09DF" w:rsidRDefault="00BE09DF" w:rsidP="00BE09DF">
      <w:proofErr w:type="gramStart"/>
      <w:r>
        <w:t>изменение</w:t>
      </w:r>
      <w:proofErr w:type="gramEnd"/>
      <w:r>
        <w:t xml:space="preserve"> состоятельности населения;</w:t>
      </w:r>
    </w:p>
    <w:p w:rsidR="00BE09DF" w:rsidRDefault="00BE09DF" w:rsidP="00BE09DF">
      <w:proofErr w:type="gramStart"/>
      <w:r>
        <w:t>сумма</w:t>
      </w:r>
      <w:proofErr w:type="gramEnd"/>
      <w:r>
        <w:t>, требующаяся для осуществления необходимого минимума работ.</w:t>
      </w:r>
    </w:p>
    <w:p w:rsidR="00BE09DF" w:rsidRDefault="00BE09DF" w:rsidP="00BE09DF">
      <w:r>
        <w:t>Для того, чтобы минимальный размер платы за капремонт был назначен корректно, субъекты страны каждые три года проводят переоценку значений платежей в соответствии с нормативными правовыми актами.</w:t>
      </w:r>
    </w:p>
    <w:p w:rsidR="00BE09DF" w:rsidRDefault="00BE09DF" w:rsidP="00BE09DF">
      <w:r>
        <w:t>На основе проведенного анализа применяется новая ставка. На законодательном уровне на настоящий год предусмотрено использование размера взноса за предыдущий период с применением повышающего коэффициента с учетом индекса корректировки цен на услуги и работы подрядчиков.</w:t>
      </w:r>
    </w:p>
    <w:p w:rsidR="00BE09DF" w:rsidRDefault="00BE09DF" w:rsidP="00BE09DF">
      <w:r>
        <w:t>Таким образом, повышение тарифа на капремонт в приходящих квитанциях является обоснованным с точки зрения закона и не является продуктом самодеятельности, как думают многие собственники.</w:t>
      </w:r>
    </w:p>
    <w:p w:rsidR="00BE09DF" w:rsidRDefault="00BE09DF" w:rsidP="00BE09DF">
      <w:r>
        <w:t>Ежегодный рост инфляции, цен на товары и услуги играют немаловажную роль в увеличении стоимости тарифов по коммунальным платежам и капремонту. Также растет стоимость работ подрядчиков, что приводит к повышению всех взаимосвязанные показателей</w:t>
      </w:r>
    </w:p>
    <w:p w:rsidR="00BE09DF" w:rsidRPr="00754C38" w:rsidRDefault="00BE09DF" w:rsidP="00BE09DF">
      <w:pPr>
        <w:rPr>
          <w:sz w:val="28"/>
          <w:szCs w:val="28"/>
        </w:rPr>
      </w:pPr>
      <w:r w:rsidRPr="00754C38">
        <w:rPr>
          <w:sz w:val="28"/>
          <w:szCs w:val="28"/>
        </w:rPr>
        <w:t>Общее собрание и размер капремонта?</w:t>
      </w:r>
    </w:p>
    <w:p w:rsidR="00BE09DF" w:rsidRDefault="00BE09DF" w:rsidP="00BE09DF">
      <w:r>
        <w:t>Посредством проведения общей встречи жильцы многоквартирного дома имеют право выбрать одни из вариантов создания фонда накопления денежных средств для последующего ремонта</w:t>
      </w:r>
    </w:p>
    <w:p w:rsidR="00BE09DF" w:rsidRDefault="00BE09DF" w:rsidP="00BE09DF">
      <w:proofErr w:type="gramStart"/>
      <w:r>
        <w:t>открытие</w:t>
      </w:r>
      <w:proofErr w:type="gramEnd"/>
      <w:r>
        <w:t xml:space="preserve"> специального счета;</w:t>
      </w:r>
    </w:p>
    <w:p w:rsidR="00BE09DF" w:rsidRDefault="00BE09DF" w:rsidP="00BE09DF">
      <w:proofErr w:type="gramStart"/>
      <w:r>
        <w:t>передача</w:t>
      </w:r>
      <w:proofErr w:type="gramEnd"/>
      <w:r>
        <w:t xml:space="preserve"> ежемесячных сумм на счет регионального оператора.</w:t>
      </w:r>
    </w:p>
    <w:p w:rsidR="00BE09DF" w:rsidRDefault="00BE09DF" w:rsidP="00BE09DF">
      <w:r>
        <w:t>Если собственники квартир выбрали первый метод организации сборов, должен быть введен размер ежемесячных отчислений самостоятельно.</w:t>
      </w:r>
    </w:p>
    <w:p w:rsidR="00BE09DF" w:rsidRDefault="00BE09DF" w:rsidP="00BE09DF">
      <w:r>
        <w:t>О том, куда идут собранные деньги, мы говорили ранее.</w:t>
      </w:r>
    </w:p>
    <w:p w:rsidR="00BE09DF" w:rsidRDefault="00BE09DF" w:rsidP="00BE09DF">
      <w:r>
        <w:t>Т.е., какая плата за капремонт будет взиматься, решают жильцы на общем собрании. При этом данный размер не может быть меньше значения, принятого законом для данного региона.</w:t>
      </w:r>
    </w:p>
    <w:p w:rsidR="00BE09DF" w:rsidRDefault="00BE09DF" w:rsidP="00BE09DF">
      <w:r>
        <w:t>Решением жителей может быть выбран к оплате минимальный тариф на капремонт, установленный регионом. В таком случае момент проведения ремонта и перечень работ будут определяться на основании региональной программы.</w:t>
      </w:r>
    </w:p>
    <w:p w:rsidR="00BE09DF" w:rsidRDefault="00BE09DF" w:rsidP="00BE09DF">
      <w:r>
        <w:lastRenderedPageBreak/>
        <w:t>Жильцы могут назначить дату осуществления проведения работ и раньше назначенного срока, но тогда на счету должна быть вся необходима сумма. Что касается владельцев квартир в новостройках, им необходимо помнить о гарантийном периоде.</w:t>
      </w:r>
    </w:p>
    <w:p w:rsidR="00BE09DF" w:rsidRDefault="00BE09DF" w:rsidP="00BE09DF">
      <w:r>
        <w:t>Также собственники вправе определить норму платежей выше названного в нормативных актах. При таком раскладе имеются следующие преимущества при исполнении капитального ремонта</w:t>
      </w:r>
    </w:p>
    <w:p w:rsidR="00BE09DF" w:rsidRDefault="00BE09DF" w:rsidP="00BE09DF">
      <w:proofErr w:type="gramStart"/>
      <w:r>
        <w:t>возможность</w:t>
      </w:r>
      <w:proofErr w:type="gramEnd"/>
      <w:r>
        <w:t xml:space="preserve"> осуществить дополнительные работы, не входящие в перечень региональной программы;</w:t>
      </w:r>
    </w:p>
    <w:p w:rsidR="00BE09DF" w:rsidRDefault="00BE09DF" w:rsidP="00BE09DF">
      <w:proofErr w:type="gramStart"/>
      <w:r>
        <w:t>перенести</w:t>
      </w:r>
      <w:proofErr w:type="gramEnd"/>
      <w:r>
        <w:t xml:space="preserve"> период выполнения на более раннюю дату.</w:t>
      </w:r>
    </w:p>
    <w:p w:rsidR="00BE09DF" w:rsidRDefault="00BE09DF" w:rsidP="00BE09DF">
      <w:r>
        <w:t>ВНИМАНИЕ! Учитывая вышесказанное, жильцы должны понимать, что установить любую придуманную ими ставку они не смогут. Это противоречит действующему законодательству.</w:t>
      </w:r>
    </w:p>
    <w:p w:rsidR="00BE09DF" w:rsidRDefault="00BE09DF" w:rsidP="00BE09DF">
      <w:r>
        <w:t>Отказаться от уплаты также невозможно за исключением отдельных случаев, предусмотренных нормативными актами.</w:t>
      </w:r>
    </w:p>
    <w:p w:rsidR="00BE09DF" w:rsidRDefault="00BE09DF" w:rsidP="00BE09DF">
      <w:r>
        <w:t>Кто повышает тариф и где узнать, изменился ли он?</w:t>
      </w:r>
    </w:p>
    <w:p w:rsidR="00BE09DF" w:rsidRDefault="00BE09DF" w:rsidP="00BE09DF">
      <w:r>
        <w:t>Тариф оплаты капремонта устанавливается и изменяется ежегодно по инициативе Правительства субъекта Федерации.</w:t>
      </w:r>
    </w:p>
    <w:p w:rsidR="00BE09DF" w:rsidRDefault="00BE09DF" w:rsidP="00BE09DF">
      <w:r>
        <w:t>Узнать, когда запланирован капремонт по дому проживания можно самостоятельно.</w:t>
      </w:r>
    </w:p>
    <w:p w:rsidR="00BE09DF" w:rsidRDefault="00BE09DF" w:rsidP="00BE09DF">
      <w:r>
        <w:t>Об этом говорится в законе об утверждении региональной программы на конкретные годы в каждом муниципальном образовании.</w:t>
      </w:r>
    </w:p>
    <w:p w:rsidR="00BE09DF" w:rsidRDefault="00BE09DF" w:rsidP="00BE09DF">
      <w:r>
        <w:t>Отследить эту информацию можно и другими способами:</w:t>
      </w:r>
    </w:p>
    <w:p w:rsidR="00BE09DF" w:rsidRDefault="00BE09DF" w:rsidP="00BE09DF">
      <w:proofErr w:type="gramStart"/>
      <w:r>
        <w:t>на</w:t>
      </w:r>
      <w:proofErr w:type="gramEnd"/>
      <w:r>
        <w:t xml:space="preserve"> сайте государственной информационной системы жилищно-коммунального хозяйства;</w:t>
      </w:r>
    </w:p>
    <w:p w:rsidR="00BE09DF" w:rsidRDefault="00BE09DF" w:rsidP="00BE09DF">
      <w:proofErr w:type="gramStart"/>
      <w:r>
        <w:t>на</w:t>
      </w:r>
      <w:proofErr w:type="gramEnd"/>
      <w:r>
        <w:t xml:space="preserve"> официальной интернет-странице субъекты страны;</w:t>
      </w:r>
    </w:p>
    <w:p w:rsidR="00BE09DF" w:rsidRDefault="00BE09DF" w:rsidP="00BE09DF">
      <w:proofErr w:type="gramStart"/>
      <w:r>
        <w:t>в</w:t>
      </w:r>
      <w:proofErr w:type="gramEnd"/>
      <w:r>
        <w:t xml:space="preserve"> приложениях к закону о взносах отдельных регионов;</w:t>
      </w:r>
    </w:p>
    <w:p w:rsidR="00BE09DF" w:rsidRDefault="00BE09DF" w:rsidP="00BE09DF">
      <w:proofErr w:type="gramStart"/>
      <w:r>
        <w:t>просмотрев</w:t>
      </w:r>
      <w:proofErr w:type="gramEnd"/>
      <w:r>
        <w:t xml:space="preserve"> раздел «Расчет размера взноса» в ежемесячной квитанции, а также информацию на обороте бумаги;</w:t>
      </w:r>
    </w:p>
    <w:p w:rsidR="00BE09DF" w:rsidRDefault="00BE09DF" w:rsidP="00BE09DF">
      <w:proofErr w:type="gramStart"/>
      <w:r>
        <w:t>обратившись</w:t>
      </w:r>
      <w:proofErr w:type="gramEnd"/>
      <w:r>
        <w:t xml:space="preserve"> непосредственно в организацию, уполномоченную контролировать фонд капитального ремонта;</w:t>
      </w:r>
    </w:p>
    <w:p w:rsidR="00BE09DF" w:rsidRDefault="00BE09DF" w:rsidP="00BE09DF">
      <w:proofErr w:type="gramStart"/>
      <w:r>
        <w:t>просмотрев</w:t>
      </w:r>
      <w:proofErr w:type="gramEnd"/>
      <w:r>
        <w:t xml:space="preserve"> новостные ленты региона</w:t>
      </w:r>
    </w:p>
    <w:p w:rsidR="00AB741F" w:rsidRDefault="00AB741F">
      <w:bookmarkStart w:id="0" w:name="_GoBack"/>
      <w:bookmarkEnd w:id="0"/>
    </w:p>
    <w:sectPr w:rsidR="00AB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C72FC"/>
    <w:multiLevelType w:val="multilevel"/>
    <w:tmpl w:val="F6A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4"/>
    <w:rsid w:val="00395E24"/>
    <w:rsid w:val="00AB741F"/>
    <w:rsid w:val="00B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2661-E4AB-4F8E-B991-49E2FCB7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DF"/>
  </w:style>
  <w:style w:type="paragraph" w:styleId="1">
    <w:name w:val="heading 1"/>
    <w:basedOn w:val="a"/>
    <w:next w:val="a"/>
    <w:link w:val="10"/>
    <w:uiPriority w:val="9"/>
    <w:qFormat/>
    <w:rsid w:val="00BE0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09DF"/>
    <w:pPr>
      <w:spacing w:before="100" w:beforeAutospacing="1" w:after="100" w:afterAutospacing="1" w:line="240" w:lineRule="auto"/>
      <w:outlineLvl w:val="1"/>
    </w:pPr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09DF"/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09DF"/>
    <w:rPr>
      <w:strike w:val="0"/>
      <w:dstrike w:val="0"/>
      <w:color w:val="40474D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E09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5"/>
    <w:uiPriority w:val="99"/>
    <w:rsid w:val="00BE09DF"/>
    <w:rPr>
      <w:rFonts w:cs="Verdana"/>
      <w:color w:val="000000"/>
      <w:sz w:val="16"/>
      <w:szCs w:val="16"/>
    </w:rPr>
  </w:style>
  <w:style w:type="character" w:styleId="a6">
    <w:name w:val="Strong"/>
    <w:basedOn w:val="a0"/>
    <w:uiPriority w:val="22"/>
    <w:qFormat/>
    <w:rsid w:val="00BE09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files/kr/648-r.docx" TargetMode="External"/><Relationship Id="rId13" Type="http://schemas.openxmlformats.org/officeDocument/2006/relationships/hyperlink" Target="http://gkh24.ru/files/kr/670_p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kh24.ru/files/kr/4-1451.docx" TargetMode="External"/><Relationship Id="rId12" Type="http://schemas.openxmlformats.org/officeDocument/2006/relationships/hyperlink" Target="http://gkh24.ru/files/kr/656-p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krskstate.ru/dat/bin/docs_attach/60299_670_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kr24.ru/" TargetMode="External"/><Relationship Id="rId11" Type="http://schemas.openxmlformats.org/officeDocument/2006/relationships/hyperlink" Target="http://gkh24.ru/files/kr/511-p.docx" TargetMode="External"/><Relationship Id="rId5" Type="http://schemas.openxmlformats.org/officeDocument/2006/relationships/hyperlink" Target="http://gkh24.ru/files/kr/526-p.docx" TargetMode="External"/><Relationship Id="rId15" Type="http://schemas.openxmlformats.org/officeDocument/2006/relationships/hyperlink" Target="http://www.zakonrf.info/jk/167/" TargetMode="External"/><Relationship Id="rId10" Type="http://schemas.openxmlformats.org/officeDocument/2006/relationships/hyperlink" Target="http://gkh24.ru/files/kr/715-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24.ru/files/kr/713-p.docx" TargetMode="External"/><Relationship Id="rId14" Type="http://schemas.openxmlformats.org/officeDocument/2006/relationships/hyperlink" Target="http://gkh24.ru/files/kr/regla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cp:lastPrinted>2018-09-28T02:52:00Z</cp:lastPrinted>
  <dcterms:created xsi:type="dcterms:W3CDTF">2018-09-28T02:50:00Z</dcterms:created>
  <dcterms:modified xsi:type="dcterms:W3CDTF">2018-09-28T02:53:00Z</dcterms:modified>
</cp:coreProperties>
</file>